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D6" w:rsidRDefault="008734E2" w:rsidP="008734E2">
      <w:pPr>
        <w:jc w:val="center"/>
      </w:pPr>
      <w:r w:rsidRPr="00314F3E">
        <w:rPr>
          <w:rFonts w:ascii="Arial" w:hAnsi="Arial" w:cs="Arial"/>
          <w:b/>
          <w:noProof/>
          <w:color w:val="365F91"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8" t="24409" r="26134" b="2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E2" w:rsidRPr="009D44B3" w:rsidRDefault="00C07459" w:rsidP="008734E2">
      <w:pPr>
        <w:widowControl w:val="0"/>
        <w:jc w:val="center"/>
        <w:rPr>
          <w:rFonts w:ascii="Arial" w:hAnsi="Arial" w:cs="Arial"/>
          <w:color w:val="365F91"/>
          <w:sz w:val="24"/>
          <w:szCs w:val="24"/>
          <w:lang w:val="en"/>
        </w:rPr>
      </w:pPr>
      <w:r>
        <w:rPr>
          <w:rFonts w:ascii="Arial" w:hAnsi="Arial" w:cs="Arial"/>
          <w:b/>
          <w:snapToGrid w:val="0"/>
          <w:color w:val="365F91"/>
          <w:sz w:val="24"/>
          <w:szCs w:val="24"/>
        </w:rPr>
        <w:t>HOSA</w:t>
      </w:r>
    </w:p>
    <w:p w:rsidR="008734E2" w:rsidRPr="009D44B3" w:rsidRDefault="00C07459" w:rsidP="008734E2">
      <w:pPr>
        <w:pStyle w:val="BodyText"/>
        <w:jc w:val="center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February 13-16</w:t>
      </w:r>
      <w:r w:rsidR="008734E2" w:rsidRPr="009D44B3">
        <w:rPr>
          <w:rFonts w:ascii="Arial" w:hAnsi="Arial" w:cs="Arial"/>
          <w:color w:val="365F91"/>
          <w:sz w:val="24"/>
          <w:szCs w:val="24"/>
        </w:rPr>
        <w:t>, 201</w:t>
      </w:r>
      <w:r w:rsidR="008734E2">
        <w:rPr>
          <w:rFonts w:ascii="Arial" w:hAnsi="Arial" w:cs="Arial"/>
          <w:color w:val="365F91"/>
          <w:sz w:val="24"/>
          <w:szCs w:val="24"/>
        </w:rPr>
        <w:t>9</w:t>
      </w:r>
    </w:p>
    <w:p w:rsidR="008734E2" w:rsidRPr="00F106C0" w:rsidRDefault="008734E2" w:rsidP="008734E2">
      <w:pPr>
        <w:pStyle w:val="BodyText"/>
        <w:jc w:val="center"/>
        <w:rPr>
          <w:rFonts w:ascii="Arial" w:hAnsi="Arial" w:cs="Arial"/>
          <w:color w:val="365F91"/>
          <w:sz w:val="24"/>
          <w:szCs w:val="24"/>
        </w:rPr>
      </w:pPr>
    </w:p>
    <w:p w:rsidR="008734E2" w:rsidRPr="003B7B78" w:rsidRDefault="008734E2" w:rsidP="008734E2">
      <w:pPr>
        <w:pStyle w:val="BodyText"/>
        <w:rPr>
          <w:rFonts w:ascii="Arial" w:hAnsi="Arial" w:cs="Arial"/>
          <w:color w:val="365F91"/>
          <w:sz w:val="28"/>
          <w:szCs w:val="28"/>
          <w:u w:val="single"/>
        </w:rPr>
      </w:pPr>
      <w:r w:rsidRPr="003B7B78">
        <w:rPr>
          <w:rFonts w:ascii="Arial" w:hAnsi="Arial" w:cs="Arial"/>
          <w:color w:val="365F91"/>
          <w:sz w:val="28"/>
          <w:szCs w:val="28"/>
          <w:u w:val="single"/>
        </w:rPr>
        <w:t>Reservations:</w:t>
      </w: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The </w:t>
      </w:r>
      <w:proofErr w:type="spellStart"/>
      <w:r w:rsidRPr="00F106C0">
        <w:rPr>
          <w:rFonts w:ascii="Arial" w:hAnsi="Arial" w:cs="Arial"/>
          <w:color w:val="365F91"/>
          <w:sz w:val="24"/>
          <w:szCs w:val="24"/>
        </w:rPr>
        <w:t>cut off</w:t>
      </w:r>
      <w:proofErr w:type="spellEnd"/>
      <w:r w:rsidRPr="00F106C0">
        <w:rPr>
          <w:rFonts w:ascii="Arial" w:hAnsi="Arial" w:cs="Arial"/>
          <w:color w:val="365F91"/>
          <w:sz w:val="24"/>
          <w:szCs w:val="24"/>
        </w:rPr>
        <w:t xml:space="preserve"> date for accepting reservations </w:t>
      </w:r>
      <w:r>
        <w:rPr>
          <w:rFonts w:ascii="Arial" w:hAnsi="Arial" w:cs="Arial"/>
          <w:color w:val="365F91"/>
          <w:sz w:val="24"/>
          <w:szCs w:val="24"/>
        </w:rPr>
        <w:t xml:space="preserve">into the block is </w:t>
      </w:r>
      <w:r w:rsidR="00C07459">
        <w:rPr>
          <w:rFonts w:ascii="Arial" w:hAnsi="Arial" w:cs="Arial"/>
          <w:color w:val="365F91"/>
          <w:sz w:val="24"/>
          <w:szCs w:val="24"/>
        </w:rPr>
        <w:t>January 18,</w:t>
      </w:r>
      <w:r>
        <w:rPr>
          <w:rFonts w:ascii="Arial" w:hAnsi="Arial" w:cs="Arial"/>
          <w:color w:val="365F91"/>
          <w:sz w:val="24"/>
          <w:szCs w:val="24"/>
        </w:rPr>
        <w:t xml:space="preserve"> 2019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.  Please use </w:t>
      </w:r>
      <w:r w:rsidR="005C0245">
        <w:rPr>
          <w:rFonts w:ascii="Arial" w:hAnsi="Arial" w:cs="Arial"/>
          <w:color w:val="365F91"/>
          <w:sz w:val="24"/>
          <w:szCs w:val="24"/>
        </w:rPr>
        <w:t>this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excel spreadsheet </w:t>
      </w:r>
      <w:r>
        <w:rPr>
          <w:rFonts w:ascii="Arial" w:hAnsi="Arial" w:cs="Arial"/>
          <w:color w:val="365F91"/>
          <w:sz w:val="24"/>
          <w:szCs w:val="24"/>
        </w:rPr>
        <w:t>attached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to submit your rooming lists.  Please include any special requests or comments and submit directly to:</w:t>
      </w: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Dylan Fultz</w:t>
      </w:r>
      <w:r w:rsidRPr="00F106C0">
        <w:rPr>
          <w:rFonts w:ascii="Arial" w:hAnsi="Arial" w:cs="Arial"/>
          <w:color w:val="365F91"/>
          <w:sz w:val="24"/>
          <w:szCs w:val="24"/>
        </w:rPr>
        <w:t>, Group Housing Coordinator</w:t>
      </w:r>
    </w:p>
    <w:p w:rsidR="008734E2" w:rsidRDefault="00DF4138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hyperlink r:id="rId5" w:history="1">
        <w:r w:rsidR="008734E2" w:rsidRPr="002A36B9">
          <w:rPr>
            <w:rStyle w:val="Hyperlink"/>
            <w:rFonts w:ascii="Arial" w:hAnsi="Arial" w:cs="Arial"/>
            <w:sz w:val="24"/>
            <w:szCs w:val="24"/>
          </w:rPr>
          <w:t>dylan.fultz@marriott.com</w:t>
        </w:r>
      </w:hyperlink>
      <w:r w:rsidR="005C024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5C0245">
        <w:rPr>
          <w:rFonts w:ascii="Arial" w:hAnsi="Arial" w:cs="Arial"/>
          <w:color w:val="365F91"/>
          <w:sz w:val="24"/>
          <w:szCs w:val="24"/>
        </w:rPr>
        <w:t xml:space="preserve">and CC: </w:t>
      </w:r>
      <w:hyperlink r:id="rId6" w:history="1">
        <w:r w:rsidRPr="00165588">
          <w:rPr>
            <w:rStyle w:val="Hyperlink"/>
            <w:rFonts w:ascii="Arial" w:hAnsi="Arial" w:cs="Arial"/>
            <w:sz w:val="24"/>
            <w:szCs w:val="24"/>
          </w:rPr>
          <w:t>Kimberly.petrucci@sheratonhotels.com</w:t>
        </w:r>
      </w:hyperlink>
      <w:r w:rsidR="005C0245">
        <w:rPr>
          <w:rFonts w:ascii="Arial" w:hAnsi="Arial" w:cs="Arial"/>
          <w:color w:val="365F91"/>
          <w:sz w:val="24"/>
          <w:szCs w:val="24"/>
        </w:rPr>
        <w:t xml:space="preserve"> </w:t>
      </w:r>
    </w:p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</w:p>
    <w:p w:rsidR="005C0245" w:rsidRDefault="005C0245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Excel.Sheet.12" ShapeID="_x0000_i1025" DrawAspect="Icon" ObjectID="_1606643891" r:id="rId8"/>
        </w:object>
      </w:r>
    </w:p>
    <w:p w:rsidR="005C0245" w:rsidRDefault="005C0245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 </w:t>
      </w:r>
      <w:r w:rsidRPr="003B7B78">
        <w:rPr>
          <w:rFonts w:ascii="Arial" w:hAnsi="Arial" w:cs="Arial"/>
          <w:color w:val="365F91"/>
          <w:sz w:val="28"/>
          <w:szCs w:val="28"/>
          <w:u w:val="single"/>
        </w:rPr>
        <w:t>Accounting</w:t>
      </w:r>
      <w:r w:rsidRPr="00F106C0">
        <w:rPr>
          <w:rFonts w:ascii="Arial" w:hAnsi="Arial" w:cs="Arial"/>
          <w:color w:val="365F91"/>
          <w:sz w:val="24"/>
          <w:szCs w:val="24"/>
        </w:rPr>
        <w:t>:</w:t>
      </w:r>
    </w:p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>The group guest room rate is as follows:</w:t>
      </w:r>
    </w:p>
    <w:p w:rsidR="008734E2" w:rsidRDefault="008734E2" w:rsidP="008734E2">
      <w:pPr>
        <w:pStyle w:val="BodyText"/>
        <w:rPr>
          <w:rFonts w:ascii="Times New Roman" w:hAnsi="Times New Roman"/>
          <w:snapToGrid/>
          <w:color w:val="auto"/>
          <w:sz w:val="20"/>
        </w:rPr>
      </w:pPr>
      <w:r>
        <w:rPr>
          <w:rFonts w:ascii="Arial" w:hAnsi="Arial" w:cs="Arial"/>
          <w:color w:val="365F91"/>
          <w:sz w:val="24"/>
          <w:szCs w:val="24"/>
        </w:rPr>
        <w:fldChar w:fldCharType="begin"/>
      </w:r>
      <w:r>
        <w:rPr>
          <w:rFonts w:ascii="Arial" w:hAnsi="Arial" w:cs="Arial"/>
          <w:color w:val="365F91"/>
          <w:sz w:val="24"/>
          <w:szCs w:val="24"/>
        </w:rPr>
        <w:instrText xml:space="preserve"> LINK Excel.Sheet.12 "Book1" "Sheet1!R1C1:R2C3" \a \f 5 \h  \* MERGEFORMAT </w:instrText>
      </w:r>
      <w:r>
        <w:rPr>
          <w:rFonts w:ascii="Arial" w:hAnsi="Arial" w:cs="Arial"/>
          <w:color w:val="365F91"/>
          <w:sz w:val="24"/>
          <w:szCs w:val="24"/>
        </w:rPr>
        <w:fldChar w:fldCharType="separate"/>
      </w: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120"/>
        <w:gridCol w:w="1084"/>
      </w:tblGrid>
      <w:tr w:rsidR="008734E2" w:rsidRPr="004E23F6" w:rsidTr="00E5394F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Single / Double Rate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Triple Rate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Quad Rate</w:t>
            </w:r>
          </w:p>
        </w:tc>
      </w:tr>
      <w:tr w:rsidR="008734E2" w:rsidRPr="004E23F6" w:rsidTr="00E5394F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:rsidR="008734E2" w:rsidRPr="004E23F6" w:rsidRDefault="00C07459" w:rsidP="00C07459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</w:rPr>
              <w:t>$139</w:t>
            </w:r>
            <w:r w:rsidR="008734E2" w:rsidRPr="004E23F6">
              <w:rPr>
                <w:rFonts w:ascii="Arial" w:hAnsi="Arial" w:cs="Arial"/>
                <w:color w:val="365F91"/>
                <w:sz w:val="24"/>
                <w:szCs w:val="24"/>
              </w:rPr>
              <w:t xml:space="preserve">.00 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734E2" w:rsidRPr="004E23F6" w:rsidRDefault="00C07459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</w:rPr>
              <w:t>$139</w:t>
            </w:r>
            <w:r w:rsidR="008734E2" w:rsidRPr="004E23F6">
              <w:rPr>
                <w:rFonts w:ascii="Arial" w:hAnsi="Arial" w:cs="Arial"/>
                <w:color w:val="365F91"/>
                <w:sz w:val="24"/>
                <w:szCs w:val="24"/>
              </w:rPr>
              <w:t xml:space="preserve">.00 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734E2" w:rsidRPr="004E23F6" w:rsidRDefault="008734E2" w:rsidP="00C07459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$1</w:t>
            </w:r>
            <w:r w:rsidR="00C07459">
              <w:rPr>
                <w:rFonts w:ascii="Arial" w:hAnsi="Arial" w:cs="Arial"/>
                <w:color w:val="365F91"/>
                <w:sz w:val="24"/>
                <w:szCs w:val="24"/>
              </w:rPr>
              <w:t>3</w:t>
            </w: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 xml:space="preserve">9.00 </w:t>
            </w:r>
          </w:p>
        </w:tc>
      </w:tr>
    </w:tbl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fldChar w:fldCharType="end"/>
      </w:r>
    </w:p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t xml:space="preserve">The current tax rate is 14.75%.  The group guest room rates </w:t>
      </w:r>
      <w:r w:rsidRPr="000415B5">
        <w:rPr>
          <w:rFonts w:ascii="Arial" w:hAnsi="Arial" w:cs="Arial"/>
          <w:b/>
          <w:color w:val="365F91"/>
          <w:sz w:val="24"/>
          <w:szCs w:val="24"/>
        </w:rPr>
        <w:t>with tax included</w:t>
      </w:r>
      <w:r>
        <w:rPr>
          <w:rFonts w:ascii="Arial" w:hAnsi="Arial" w:cs="Arial"/>
          <w:color w:val="365F91"/>
          <w:sz w:val="24"/>
          <w:szCs w:val="24"/>
        </w:rPr>
        <w:t xml:space="preserve"> are as follows:</w:t>
      </w:r>
    </w:p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</w:p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120"/>
        <w:gridCol w:w="1084"/>
      </w:tblGrid>
      <w:tr w:rsidR="008734E2" w:rsidRPr="004E23F6" w:rsidTr="00E5394F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Single / Double Rate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Triple Rate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Quad Rate</w:t>
            </w:r>
          </w:p>
        </w:tc>
      </w:tr>
      <w:tr w:rsidR="008734E2" w:rsidRPr="004E23F6" w:rsidTr="00E5394F">
        <w:trPr>
          <w:trHeight w:val="300"/>
        </w:trPr>
        <w:tc>
          <w:tcPr>
            <w:tcW w:w="2020" w:type="dxa"/>
            <w:shd w:val="clear" w:color="auto" w:fill="auto"/>
            <w:noWrap/>
            <w:hideMark/>
          </w:tcPr>
          <w:p w:rsidR="008734E2" w:rsidRPr="004E23F6" w:rsidRDefault="008734E2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$159.50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734E2" w:rsidRPr="004E23F6" w:rsidRDefault="00C07459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$159.50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734E2" w:rsidRPr="004E23F6" w:rsidRDefault="00C07459" w:rsidP="00E5394F">
            <w:pPr>
              <w:pStyle w:val="BodyText"/>
              <w:rPr>
                <w:rFonts w:ascii="Arial" w:hAnsi="Arial" w:cs="Arial"/>
                <w:color w:val="365F91"/>
                <w:sz w:val="24"/>
                <w:szCs w:val="24"/>
              </w:rPr>
            </w:pPr>
            <w:r w:rsidRPr="004E23F6">
              <w:rPr>
                <w:rFonts w:ascii="Arial" w:hAnsi="Arial" w:cs="Arial"/>
                <w:color w:val="365F91"/>
                <w:sz w:val="24"/>
                <w:szCs w:val="24"/>
              </w:rPr>
              <w:t>$159.50</w:t>
            </w:r>
          </w:p>
        </w:tc>
      </w:tr>
    </w:tbl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</w:p>
    <w:p w:rsidR="00DF4138" w:rsidRPr="00F106C0" w:rsidRDefault="008734E2" w:rsidP="00DF4138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Payment Procedures:  We accept payment via check, credit card, or wire transfer.  Unfortunately, POs are not accepted.  Please see </w:t>
      </w:r>
      <w:r w:rsidR="005C0245">
        <w:rPr>
          <w:rFonts w:ascii="Arial" w:hAnsi="Arial" w:cs="Arial"/>
          <w:color w:val="365F91"/>
          <w:sz w:val="24"/>
          <w:szCs w:val="24"/>
        </w:rPr>
        <w:t>included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appropriate forms based upon type of payment.  </w:t>
      </w:r>
      <w:r w:rsidR="00C07459">
        <w:rPr>
          <w:rFonts w:ascii="Arial" w:hAnsi="Arial" w:cs="Arial"/>
          <w:color w:val="365F91"/>
          <w:sz w:val="24"/>
          <w:szCs w:val="24"/>
        </w:rPr>
        <w:t xml:space="preserve"> All payment is required by the time of check in. </w:t>
      </w:r>
      <w:r w:rsidR="00DF4138">
        <w:rPr>
          <w:rFonts w:ascii="Arial" w:hAnsi="Arial" w:cs="Arial"/>
          <w:color w:val="365F91"/>
          <w:sz w:val="24"/>
          <w:szCs w:val="24"/>
        </w:rPr>
        <w:t>(P</w:t>
      </w:r>
      <w:r w:rsidR="00DF4138" w:rsidRPr="00F106C0">
        <w:rPr>
          <w:rFonts w:ascii="Arial" w:hAnsi="Arial" w:cs="Arial"/>
          <w:color w:val="365F91"/>
          <w:sz w:val="24"/>
          <w:szCs w:val="24"/>
        </w:rPr>
        <w:t>lease note, credit card fo</w:t>
      </w:r>
      <w:r w:rsidR="00DF4138">
        <w:rPr>
          <w:rFonts w:ascii="Arial" w:hAnsi="Arial" w:cs="Arial"/>
          <w:color w:val="365F91"/>
          <w:sz w:val="24"/>
          <w:szCs w:val="24"/>
        </w:rPr>
        <w:t>rms are to be faxed to 303-352-2475)</w:t>
      </w:r>
      <w:r w:rsidR="00DF4138" w:rsidRPr="00F106C0">
        <w:rPr>
          <w:rFonts w:ascii="Arial" w:hAnsi="Arial" w:cs="Arial"/>
          <w:color w:val="365F91"/>
          <w:sz w:val="24"/>
          <w:szCs w:val="24"/>
        </w:rPr>
        <w:t xml:space="preserve"> </w:t>
      </w: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</w:p>
    <w:p w:rsidR="008734E2" w:rsidRPr="00F106C0" w:rsidRDefault="005C0245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object w:dxaOrig="1540" w:dyaOrig="997">
          <v:shape id="_x0000_i1026" type="#_x0000_t75" style="width:77.25pt;height:49.5pt" o:ole="">
            <v:imagedata r:id="rId9" o:title=""/>
          </v:shape>
          <o:OLEObject Type="Embed" ProgID="AcroExch.Document.DC" ShapeID="_x0000_i1026" DrawAspect="Icon" ObjectID="_1606643892" r:id="rId10"/>
        </w:object>
      </w:r>
      <w:r>
        <w:rPr>
          <w:rFonts w:ascii="Arial" w:hAnsi="Arial" w:cs="Arial"/>
          <w:color w:val="365F91"/>
          <w:sz w:val="24"/>
          <w:szCs w:val="24"/>
        </w:rPr>
        <w:object w:dxaOrig="1540" w:dyaOrig="997">
          <v:shape id="_x0000_i1027" type="#_x0000_t75" style="width:77.25pt;height:49.5pt" o:ole="">
            <v:imagedata r:id="rId11" o:title=""/>
          </v:shape>
          <o:OLEObject Type="Embed" ProgID="AcroExch.Document.DC" ShapeID="_x0000_i1027" DrawAspect="Icon" ObjectID="_1606643893" r:id="rId12"/>
        </w:object>
      </w:r>
      <w:r>
        <w:rPr>
          <w:rFonts w:ascii="Arial" w:hAnsi="Arial" w:cs="Arial"/>
          <w:color w:val="365F91"/>
          <w:sz w:val="24"/>
          <w:szCs w:val="24"/>
        </w:rPr>
        <w:object w:dxaOrig="1540" w:dyaOrig="997">
          <v:shape id="_x0000_i1028" type="#_x0000_t75" style="width:77.25pt;height:49.5pt" o:ole="">
            <v:imagedata r:id="rId13" o:title=""/>
          </v:shape>
          <o:OLEObject Type="Embed" ProgID="AcroExch.Document.DC" ShapeID="_x0000_i1028" DrawAspect="Icon" ObjectID="_1606643894" r:id="rId14"/>
        </w:object>
      </w:r>
    </w:p>
    <w:p w:rsidR="008734E2" w:rsidRDefault="008734E2" w:rsidP="008734E2">
      <w:pPr>
        <w:jc w:val="center"/>
      </w:pPr>
    </w:p>
    <w:p w:rsidR="005C0245" w:rsidRPr="00F106C0" w:rsidRDefault="005C0245" w:rsidP="005C0245">
      <w:pPr>
        <w:pStyle w:val="BodyText"/>
        <w:jc w:val="center"/>
        <w:rPr>
          <w:rFonts w:ascii="Arial" w:hAnsi="Arial" w:cs="Arial"/>
          <w:color w:val="365F9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65F91"/>
          <w:sz w:val="24"/>
          <w:szCs w:val="24"/>
        </w:rPr>
        <w:t>Continued on next page</w:t>
      </w:r>
    </w:p>
    <w:p w:rsidR="008734E2" w:rsidRPr="00F106C0" w:rsidRDefault="005C0245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lastRenderedPageBreak/>
        <w:t>T</w:t>
      </w:r>
      <w:r w:rsidR="008734E2" w:rsidRPr="00F106C0">
        <w:rPr>
          <w:rFonts w:ascii="Arial" w:hAnsi="Arial" w:cs="Arial"/>
          <w:color w:val="365F91"/>
          <w:sz w:val="24"/>
          <w:szCs w:val="24"/>
        </w:rPr>
        <w:t>ax Exemption:</w:t>
      </w: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Please read carefully through the tax exemption requirements as if these are not all adhered to, taxes may be applied. </w:t>
      </w: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  </w:t>
      </w:r>
    </w:p>
    <w:p w:rsidR="008734E2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Please send us your tax exempt document and </w:t>
      </w:r>
      <w:r w:rsidR="005C0245">
        <w:rPr>
          <w:rFonts w:ascii="Arial" w:hAnsi="Arial" w:cs="Arial"/>
          <w:color w:val="365F91"/>
          <w:sz w:val="24"/>
          <w:szCs w:val="24"/>
        </w:rPr>
        <w:t>included</w:t>
      </w:r>
      <w:r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are additional forms that </w:t>
      </w:r>
      <w:r>
        <w:rPr>
          <w:rFonts w:ascii="Arial" w:hAnsi="Arial" w:cs="Arial"/>
          <w:color w:val="365F91"/>
          <w:sz w:val="24"/>
          <w:szCs w:val="24"/>
        </w:rPr>
        <w:t>are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needed.</w:t>
      </w:r>
    </w:p>
    <w:p w:rsidR="008734E2" w:rsidRDefault="00DF1424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>
        <w:rPr>
          <w:rFonts w:ascii="Arial" w:hAnsi="Arial" w:cs="Arial"/>
          <w:color w:val="365F91"/>
          <w:sz w:val="24"/>
          <w:szCs w:val="24"/>
        </w:rPr>
        <w:object w:dxaOrig="1540" w:dyaOrig="997">
          <v:shape id="_x0000_i1029" type="#_x0000_t75" style="width:77.25pt;height:49.5pt" o:ole="">
            <v:imagedata r:id="rId15" o:title=""/>
          </v:shape>
          <o:OLEObject Type="Embed" ProgID="AcroExch.Document.DC" ShapeID="_x0000_i1029" DrawAspect="Icon" ObjectID="_1606643895" r:id="rId16"/>
        </w:objec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>Tax Exemption Application Requirements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>Denver Lodger’s Tax: 14.75%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>Items Required: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State Tax Exempt Certificate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Claim for Exemption from Denver Sales, Use or Lodger’s Tax for use by Hotels, Motels and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>Restaurants Affidavit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Standard Home Rule Affidavit of Exempt Sale Affidavit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Affidavit of Non-Taxable Sale to Tax-Exempt Organization Affidavit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>Please note: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The forms must be completed entirely. Incomplete affidavits will result in the transaction being</w:t>
      </w:r>
      <w:r w:rsidR="00AC698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ineligible for exemption.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If a fee is collected from the attendees to cover the rooming or event cost being paid to the</w:t>
      </w:r>
      <w:r w:rsidR="005C024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hotel, the transaction will not eligible for tax exemption in the state of Colorado and the</w:t>
      </w:r>
      <w:r w:rsidR="00AC698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city/county of Denver.</w:t>
      </w:r>
    </w:p>
    <w:p w:rsidR="008734E2" w:rsidRPr="00F106C0" w:rsidRDefault="008734E2" w:rsidP="008734E2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To be eligible for exemption, the payment must come directly from the tax exempt entity. No</w:t>
      </w:r>
      <w:r w:rsidR="00AC698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reimbursement is allowed.</w:t>
      </w:r>
    </w:p>
    <w:p w:rsidR="008734E2" w:rsidRPr="00F106C0" w:rsidRDefault="008734E2" w:rsidP="00AC6985">
      <w:pPr>
        <w:autoSpaceDE w:val="0"/>
        <w:autoSpaceDN w:val="0"/>
        <w:adjustRightInd w:val="0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eastAsia="CIDFont+F2" w:hAnsi="Arial" w:cs="Arial"/>
          <w:color w:val="365F91"/>
          <w:sz w:val="24"/>
          <w:szCs w:val="24"/>
        </w:rPr>
        <w:t xml:space="preserve"> </w:t>
      </w:r>
      <w:r w:rsidRPr="00F106C0">
        <w:rPr>
          <w:rFonts w:ascii="Arial" w:hAnsi="Arial" w:cs="Arial"/>
          <w:color w:val="365F91"/>
          <w:sz w:val="24"/>
          <w:szCs w:val="24"/>
        </w:rPr>
        <w:t>If the organization is a 501(c)3 rather than a public school/government entity, please contact</w:t>
      </w:r>
      <w:r w:rsidR="00AC698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the Sheraton Denver Downtown Hotel’s accounting department to discuss 501(c)3 tax</w:t>
      </w:r>
      <w:r w:rsidR="00AC6985"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>exemption requirements.</w:t>
      </w:r>
    </w:p>
    <w:p w:rsidR="008734E2" w:rsidRDefault="008734E2" w:rsidP="008734E2">
      <w:pPr>
        <w:jc w:val="center"/>
      </w:pPr>
    </w:p>
    <w:p w:rsidR="008734E2" w:rsidRPr="00F106C0" w:rsidRDefault="008734E2" w:rsidP="008734E2">
      <w:pPr>
        <w:pStyle w:val="BodyText"/>
        <w:rPr>
          <w:rFonts w:ascii="Arial" w:hAnsi="Arial" w:cs="Arial"/>
          <w:color w:val="365F91"/>
          <w:sz w:val="24"/>
          <w:szCs w:val="24"/>
        </w:rPr>
      </w:pPr>
      <w:r w:rsidRPr="00F106C0">
        <w:rPr>
          <w:rFonts w:ascii="Arial" w:hAnsi="Arial" w:cs="Arial"/>
          <w:color w:val="365F91"/>
          <w:sz w:val="24"/>
          <w:szCs w:val="24"/>
        </w:rPr>
        <w:t xml:space="preserve">Deadline to process tax exemption is </w:t>
      </w:r>
      <w:r w:rsidR="00DF4138">
        <w:rPr>
          <w:rFonts w:ascii="Arial" w:hAnsi="Arial" w:cs="Arial"/>
          <w:color w:val="365F91"/>
          <w:sz w:val="24"/>
          <w:szCs w:val="24"/>
        </w:rPr>
        <w:t xml:space="preserve">Friday, February </w:t>
      </w:r>
      <w:r>
        <w:rPr>
          <w:rFonts w:ascii="Arial" w:hAnsi="Arial" w:cs="Arial"/>
          <w:color w:val="365F91"/>
          <w:sz w:val="24"/>
          <w:szCs w:val="24"/>
        </w:rPr>
        <w:t>1</w:t>
      </w:r>
      <w:r w:rsidRPr="00F106C0">
        <w:rPr>
          <w:rFonts w:ascii="Arial" w:hAnsi="Arial" w:cs="Arial"/>
          <w:color w:val="365F91"/>
          <w:sz w:val="24"/>
          <w:szCs w:val="24"/>
        </w:rPr>
        <w:t>, 201</w:t>
      </w:r>
      <w:r>
        <w:rPr>
          <w:rFonts w:ascii="Arial" w:hAnsi="Arial" w:cs="Arial"/>
          <w:color w:val="365F91"/>
          <w:sz w:val="24"/>
          <w:szCs w:val="24"/>
        </w:rPr>
        <w:t>9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.  Please submit directly to </w:t>
      </w:r>
      <w:r>
        <w:rPr>
          <w:rFonts w:ascii="Arial" w:hAnsi="Arial" w:cs="Arial"/>
          <w:color w:val="365F91"/>
          <w:sz w:val="24"/>
          <w:szCs w:val="24"/>
        </w:rPr>
        <w:t>Celeste Tapia,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Accounts Receivable Specialist, at </w:t>
      </w:r>
      <w:hyperlink r:id="rId17" w:history="1">
        <w:r w:rsidRPr="002A36B9">
          <w:rPr>
            <w:rStyle w:val="Hyperlink"/>
            <w:rFonts w:ascii="Arial" w:hAnsi="Arial" w:cs="Arial"/>
            <w:sz w:val="24"/>
            <w:szCs w:val="24"/>
          </w:rPr>
          <w:t>celeste.tapia@sheratonohotels.com</w:t>
        </w:r>
      </w:hyperlink>
      <w:r>
        <w:rPr>
          <w:rFonts w:ascii="Arial" w:hAnsi="Arial" w:cs="Arial"/>
          <w:color w:val="365F91"/>
          <w:sz w:val="24"/>
          <w:szCs w:val="24"/>
        </w:rPr>
        <w:t xml:space="preserve"> </w:t>
      </w:r>
      <w:r w:rsidRPr="00F106C0">
        <w:rPr>
          <w:rFonts w:ascii="Arial" w:hAnsi="Arial" w:cs="Arial"/>
          <w:color w:val="365F91"/>
          <w:sz w:val="24"/>
          <w:szCs w:val="24"/>
        </w:rPr>
        <w:t xml:space="preserve"> </w:t>
      </w:r>
      <w:r w:rsidR="005C0245">
        <w:rPr>
          <w:rFonts w:ascii="Arial" w:hAnsi="Arial" w:cs="Arial"/>
          <w:color w:val="365F91"/>
          <w:sz w:val="24"/>
          <w:szCs w:val="24"/>
        </w:rPr>
        <w:t xml:space="preserve">and CC: </w:t>
      </w:r>
      <w:hyperlink r:id="rId18" w:history="1">
        <w:r w:rsidR="00DF4138" w:rsidRPr="00165588">
          <w:rPr>
            <w:rStyle w:val="Hyperlink"/>
            <w:rFonts w:ascii="Arial" w:hAnsi="Arial" w:cs="Arial"/>
            <w:sz w:val="24"/>
            <w:szCs w:val="24"/>
          </w:rPr>
          <w:t>Kimberly.petrucci@sheratonhotels.com</w:t>
        </w:r>
      </w:hyperlink>
      <w:r w:rsidR="005C0245">
        <w:rPr>
          <w:rFonts w:ascii="Arial" w:hAnsi="Arial" w:cs="Arial"/>
          <w:color w:val="365F91"/>
          <w:sz w:val="24"/>
          <w:szCs w:val="24"/>
        </w:rPr>
        <w:t xml:space="preserve"> </w:t>
      </w:r>
    </w:p>
    <w:p w:rsidR="008734E2" w:rsidRDefault="008734E2" w:rsidP="008734E2">
      <w:pPr>
        <w:jc w:val="center"/>
      </w:pPr>
    </w:p>
    <w:sectPr w:rsidR="0087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2"/>
    <w:rsid w:val="002417BF"/>
    <w:rsid w:val="005C0245"/>
    <w:rsid w:val="008734E2"/>
    <w:rsid w:val="009B19D6"/>
    <w:rsid w:val="00AC6985"/>
    <w:rsid w:val="00C07459"/>
    <w:rsid w:val="00DF1424"/>
    <w:rsid w:val="00D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719A66"/>
  <w15:chartTrackingRefBased/>
  <w15:docId w15:val="{B1027C82-9F07-4A13-A17E-3F117E7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E2"/>
    <w:pPr>
      <w:spacing w:after="0" w:line="240" w:lineRule="auto"/>
    </w:pPr>
    <w:rPr>
      <w:rFonts w:ascii="Jester" w:eastAsia="Times New Roman" w:hAnsi="Jester" w:cs="Times New Roman"/>
      <w:snapToGrid w:val="0"/>
      <w:color w:val="000000"/>
      <w:sz w:val="38"/>
      <w:szCs w:val="20"/>
    </w:rPr>
  </w:style>
  <w:style w:type="character" w:customStyle="1" w:styleId="BodyTextChar">
    <w:name w:val="Body Text Char"/>
    <w:basedOn w:val="DefaultParagraphFont"/>
    <w:link w:val="BodyText"/>
    <w:rsid w:val="008734E2"/>
    <w:rPr>
      <w:rFonts w:ascii="Jester" w:eastAsia="Times New Roman" w:hAnsi="Jester" w:cs="Times New Roman"/>
      <w:snapToGrid w:val="0"/>
      <w:color w:val="000000"/>
      <w:sz w:val="38"/>
      <w:szCs w:val="20"/>
    </w:rPr>
  </w:style>
  <w:style w:type="character" w:styleId="Hyperlink">
    <w:name w:val="Hyperlink"/>
    <w:uiPriority w:val="99"/>
    <w:unhideWhenUsed/>
    <w:rsid w:val="0087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5.emf"/><Relationship Id="rId18" Type="http://schemas.openxmlformats.org/officeDocument/2006/relationships/hyperlink" Target="mailto:Kimberly.petrucci@sheratonhotel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hyperlink" Target="mailto:celeste.tapia@sheratonohotels.com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mberly.petrucci@sheratonhotels.com" TargetMode="External"/><Relationship Id="rId11" Type="http://schemas.openxmlformats.org/officeDocument/2006/relationships/image" Target="media/image4.emf"/><Relationship Id="rId5" Type="http://schemas.openxmlformats.org/officeDocument/2006/relationships/hyperlink" Target="mailto:dylan.fultz@marriott.com" TargetMode="Externa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Petrucci, Kimberly</dc:creator>
  <cp:keywords/>
  <dc:description/>
  <cp:lastModifiedBy>Petrucci, Kimberly</cp:lastModifiedBy>
  <cp:revision>3</cp:revision>
  <dcterms:created xsi:type="dcterms:W3CDTF">2018-12-18T20:04:00Z</dcterms:created>
  <dcterms:modified xsi:type="dcterms:W3CDTF">2018-12-18T20:12:00Z</dcterms:modified>
</cp:coreProperties>
</file>